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BDE9" w14:textId="77777777" w:rsidR="001C17B2" w:rsidRDefault="001C17B2"/>
    <w:p w14:paraId="73B4EED9" w14:textId="56AD69FB" w:rsidR="007A2D30" w:rsidRPr="001C17B2" w:rsidRDefault="007A2D30" w:rsidP="00D95491"/>
    <w:p w14:paraId="3409E24B" w14:textId="77777777" w:rsidR="005462CF" w:rsidRPr="001C17B2" w:rsidRDefault="005462CF" w:rsidP="007A2D30">
      <w:pPr>
        <w:spacing w:after="0" w:line="240" w:lineRule="auto"/>
        <w:contextualSpacing/>
        <w:rPr>
          <w:b/>
        </w:rPr>
      </w:pPr>
    </w:p>
    <w:p w14:paraId="7A3B2D7C" w14:textId="77777777" w:rsidR="00F878F5" w:rsidRPr="00AE3152" w:rsidRDefault="00F878F5" w:rsidP="00F878F5">
      <w:pPr>
        <w:spacing w:after="0" w:line="240" w:lineRule="auto"/>
        <w:rPr>
          <w:b/>
          <w:sz w:val="32"/>
          <w:szCs w:val="32"/>
        </w:rPr>
      </w:pPr>
      <w:r w:rsidRPr="00AE3152">
        <w:rPr>
          <w:b/>
          <w:sz w:val="32"/>
          <w:szCs w:val="32"/>
        </w:rPr>
        <w:t>Terms and Conditions</w:t>
      </w:r>
    </w:p>
    <w:p w14:paraId="4B4CF0DF" w14:textId="11440D96" w:rsidR="00F878F5" w:rsidRPr="001C17B2" w:rsidRDefault="00F878F5" w:rsidP="009D5A91">
      <w:pPr>
        <w:spacing w:after="0" w:line="240" w:lineRule="auto"/>
        <w:jc w:val="both"/>
      </w:pPr>
      <w:r w:rsidRPr="001C17B2">
        <w:t>The Craters of the Moon Trust</w:t>
      </w:r>
      <w:bookmarkStart w:id="0" w:name="_GoBack"/>
      <w:bookmarkEnd w:id="0"/>
      <w:r w:rsidR="008834EA">
        <w:t xml:space="preserve"> </w:t>
      </w:r>
      <w:r w:rsidR="009411D4">
        <w:t xml:space="preserve">(CMT) </w:t>
      </w:r>
      <w:r w:rsidRPr="001C17B2">
        <w:t xml:space="preserve">makes grants to projects or activities that </w:t>
      </w:r>
      <w:r w:rsidR="009411D4">
        <w:t>may be</w:t>
      </w:r>
      <w:r w:rsidRPr="001C17B2">
        <w:t xml:space="preserve"> beneficial to the whole</w:t>
      </w:r>
      <w:r w:rsidR="009411D4">
        <w:t>,</w:t>
      </w:r>
      <w:r w:rsidRPr="001C17B2">
        <w:t xml:space="preserve"> or a section of the Taupō community. </w:t>
      </w:r>
    </w:p>
    <w:p w14:paraId="61C17A8B" w14:textId="77777777" w:rsidR="00F878F5" w:rsidRPr="001C17B2" w:rsidRDefault="00F878F5" w:rsidP="009D5A91">
      <w:pPr>
        <w:spacing w:after="0" w:line="240" w:lineRule="auto"/>
        <w:jc w:val="both"/>
      </w:pPr>
    </w:p>
    <w:p w14:paraId="5687170A" w14:textId="7ACA00BD" w:rsidR="00F878F5" w:rsidRPr="001C17B2" w:rsidRDefault="00742DA2" w:rsidP="009D5A91">
      <w:pPr>
        <w:spacing w:after="0" w:line="240" w:lineRule="auto"/>
        <w:jc w:val="both"/>
      </w:pPr>
      <w:r>
        <w:rPr>
          <w:b/>
        </w:rPr>
        <w:t xml:space="preserve">Guidelines for </w:t>
      </w:r>
      <w:r w:rsidR="00F878F5" w:rsidRPr="001C17B2">
        <w:rPr>
          <w:b/>
        </w:rPr>
        <w:t>Grant Eligibility</w:t>
      </w:r>
    </w:p>
    <w:p w14:paraId="178BADBB" w14:textId="5CA38B1C" w:rsidR="005462CF" w:rsidRPr="001C17B2" w:rsidRDefault="00ED2D95" w:rsidP="009D5A91">
      <w:pPr>
        <w:spacing w:after="0" w:line="240" w:lineRule="auto"/>
        <w:jc w:val="both"/>
      </w:pPr>
      <w:r>
        <w:t>The Trust’s</w:t>
      </w:r>
      <w:r w:rsidR="005462CF" w:rsidRPr="001C17B2">
        <w:t xml:space="preserve"> objective in </w:t>
      </w:r>
      <w:r w:rsidR="00742DA2">
        <w:t>managing</w:t>
      </w:r>
      <w:r w:rsidR="005462CF" w:rsidRPr="001C17B2">
        <w:t xml:space="preserve"> both Huka Falls and Craters of the Moon </w:t>
      </w:r>
      <w:r w:rsidR="00742DA2">
        <w:t>sites is to reinvest</w:t>
      </w:r>
      <w:r w:rsidR="005462CF" w:rsidRPr="001C17B2">
        <w:t xml:space="preserve"> mon</w:t>
      </w:r>
      <w:r>
        <w:t>ies</w:t>
      </w:r>
      <w:r w:rsidR="00742DA2">
        <w:t xml:space="preserve"> surplus to our operating expenses back into the Taupo community via</w:t>
      </w:r>
      <w:r w:rsidR="005462CF" w:rsidRPr="001C17B2">
        <w:t xml:space="preserve"> any programme, servi</w:t>
      </w:r>
      <w:r w:rsidR="00D95491">
        <w:t>c</w:t>
      </w:r>
      <w:r w:rsidR="005462CF" w:rsidRPr="001C17B2">
        <w:t>e or structure that:</w:t>
      </w:r>
    </w:p>
    <w:p w14:paraId="6494A344" w14:textId="7F7111C6" w:rsidR="005462CF" w:rsidRPr="001C17B2" w:rsidRDefault="005462CF" w:rsidP="009D5A91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1C17B2">
        <w:t xml:space="preserve">Promotes </w:t>
      </w:r>
      <w:r w:rsidR="00CC58F2">
        <w:t xml:space="preserve">public safety and </w:t>
      </w:r>
      <w:r w:rsidRPr="001C17B2">
        <w:t xml:space="preserve">security for </w:t>
      </w:r>
      <w:r w:rsidR="008834EA">
        <w:t xml:space="preserve">local residents and </w:t>
      </w:r>
      <w:r w:rsidRPr="001C17B2">
        <w:t>visitors to the district</w:t>
      </w:r>
      <w:r w:rsidR="00CC58F2">
        <w:t>.</w:t>
      </w:r>
    </w:p>
    <w:p w14:paraId="35485AB8" w14:textId="091C9129" w:rsidR="005462CF" w:rsidRPr="001C17B2" w:rsidRDefault="005462CF" w:rsidP="009D5A91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1C17B2">
        <w:t>Furthers or improves</w:t>
      </w:r>
      <w:r w:rsidR="00AE3152">
        <w:t xml:space="preserve"> community faci</w:t>
      </w:r>
      <w:r w:rsidRPr="001C17B2">
        <w:t>lities</w:t>
      </w:r>
      <w:r w:rsidR="00CC58F2">
        <w:t xml:space="preserve"> within the </w:t>
      </w:r>
      <w:r w:rsidR="00CC58F2" w:rsidRPr="001C17B2">
        <w:t>Taupō</w:t>
      </w:r>
      <w:r w:rsidR="00CC58F2">
        <w:t xml:space="preserve"> District</w:t>
      </w:r>
    </w:p>
    <w:p w14:paraId="258D056F" w14:textId="27F97929" w:rsidR="00742DA2" w:rsidRDefault="005462CF" w:rsidP="00742DA2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1C17B2">
        <w:t>Furthers or improves community well-being</w:t>
      </w:r>
      <w:r w:rsidR="00CC58F2">
        <w:t xml:space="preserve"> within the </w:t>
      </w:r>
      <w:r w:rsidR="00CC58F2" w:rsidRPr="001C17B2">
        <w:t>Taupō</w:t>
      </w:r>
      <w:r w:rsidR="00CC58F2">
        <w:t xml:space="preserve"> District</w:t>
      </w:r>
    </w:p>
    <w:p w14:paraId="447D7280" w14:textId="77777777" w:rsidR="00742DA2" w:rsidRDefault="00742DA2" w:rsidP="00D11681">
      <w:pPr>
        <w:spacing w:after="0" w:line="240" w:lineRule="auto"/>
        <w:jc w:val="both"/>
      </w:pPr>
    </w:p>
    <w:p w14:paraId="6DE15F20" w14:textId="77777777" w:rsidR="009411D4" w:rsidRDefault="009411D4" w:rsidP="00D11681">
      <w:pPr>
        <w:spacing w:after="0" w:line="240" w:lineRule="auto"/>
        <w:jc w:val="both"/>
      </w:pPr>
    </w:p>
    <w:p w14:paraId="11571B25" w14:textId="0AADB174" w:rsidR="00742DA2" w:rsidRPr="00D11681" w:rsidRDefault="00742DA2" w:rsidP="00D11681">
      <w:pPr>
        <w:spacing w:after="0" w:line="240" w:lineRule="auto"/>
        <w:jc w:val="both"/>
        <w:rPr>
          <w:b/>
        </w:rPr>
      </w:pPr>
      <w:r w:rsidRPr="00D11681">
        <w:rPr>
          <w:b/>
        </w:rPr>
        <w:t>Qualifying Appicants</w:t>
      </w:r>
    </w:p>
    <w:p w14:paraId="31855F72" w14:textId="7396C7B0" w:rsidR="005462CF" w:rsidRPr="00733F6F" w:rsidRDefault="00733F6F" w:rsidP="00733F6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Applicant organisations should be based within the Taupō District Council boundary.   Applicants from Reporoa will be considered on a case by case basis</w:t>
      </w:r>
      <w:r w:rsidR="005462CF" w:rsidRPr="001C17B2">
        <w:t>.</w:t>
      </w:r>
    </w:p>
    <w:p w14:paraId="1B9E7DA8" w14:textId="77777777" w:rsidR="00742DA2" w:rsidRDefault="00752505" w:rsidP="009D5A91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Applicants must be</w:t>
      </w:r>
      <w:r w:rsidR="00742DA2">
        <w:t>:</w:t>
      </w:r>
    </w:p>
    <w:p w14:paraId="2B9AA4BD" w14:textId="1640FB4A" w:rsidR="00742DA2" w:rsidRDefault="00F878F5" w:rsidP="00D11681">
      <w:pPr>
        <w:pStyle w:val="ListParagraph"/>
        <w:numPr>
          <w:ilvl w:val="0"/>
          <w:numId w:val="26"/>
        </w:numPr>
        <w:spacing w:after="0" w:line="240" w:lineRule="auto"/>
        <w:ind w:left="709"/>
        <w:jc w:val="both"/>
      </w:pPr>
      <w:r w:rsidRPr="001C17B2">
        <w:t xml:space="preserve"> an inco</w:t>
      </w:r>
      <w:r w:rsidR="000472B8" w:rsidRPr="001C17B2">
        <w:t>rporated society, a for</w:t>
      </w:r>
      <w:r w:rsidRPr="001C17B2">
        <w:t>mally constitu</w:t>
      </w:r>
      <w:r w:rsidR="00D95491">
        <w:t>t</w:t>
      </w:r>
      <w:r w:rsidRPr="001C17B2">
        <w:t xml:space="preserve">ed organisation, </w:t>
      </w:r>
      <w:r w:rsidR="00742DA2">
        <w:t xml:space="preserve">a </w:t>
      </w:r>
      <w:r w:rsidRPr="001C17B2">
        <w:t xml:space="preserve">charitable body recognised by the </w:t>
      </w:r>
      <w:r w:rsidR="00ED2D95">
        <w:t xml:space="preserve">IRD and/or </w:t>
      </w:r>
      <w:r w:rsidRPr="001C17B2">
        <w:t>Chariti</w:t>
      </w:r>
      <w:r w:rsidR="000472B8" w:rsidRPr="001C17B2">
        <w:t xml:space="preserve">es Commission, </w:t>
      </w:r>
      <w:r w:rsidR="00742DA2">
        <w:t>or</w:t>
      </w:r>
    </w:p>
    <w:p w14:paraId="67877163" w14:textId="32AA491C" w:rsidR="00742DA2" w:rsidRDefault="00742DA2" w:rsidP="00D11681">
      <w:pPr>
        <w:pStyle w:val="ListParagraph"/>
        <w:numPr>
          <w:ilvl w:val="0"/>
          <w:numId w:val="26"/>
        </w:numPr>
        <w:spacing w:after="0" w:line="240" w:lineRule="auto"/>
        <w:ind w:left="709"/>
        <w:jc w:val="both"/>
      </w:pPr>
      <w:r>
        <w:t xml:space="preserve">a </w:t>
      </w:r>
      <w:r w:rsidR="000472B8" w:rsidRPr="001C17B2">
        <w:t>registered or for</w:t>
      </w:r>
      <w:r w:rsidR="00F878F5" w:rsidRPr="001C17B2">
        <w:t>mally constitu</w:t>
      </w:r>
      <w:r w:rsidR="000472B8" w:rsidRPr="001C17B2">
        <w:t>t</w:t>
      </w:r>
      <w:r w:rsidR="00F878F5" w:rsidRPr="001C17B2">
        <w:t xml:space="preserve">ed sports club </w:t>
      </w:r>
      <w:r>
        <w:t>and</w:t>
      </w:r>
      <w:r w:rsidR="00F878F5" w:rsidRPr="001C17B2">
        <w:t xml:space="preserve"> is affiliated to a national body,</w:t>
      </w:r>
      <w:r>
        <w:t xml:space="preserve"> or</w:t>
      </w:r>
      <w:r w:rsidR="004D36FC">
        <w:t xml:space="preserve"> </w:t>
      </w:r>
    </w:p>
    <w:p w14:paraId="64AB6A29" w14:textId="5215C2F2" w:rsidR="00F878F5" w:rsidRDefault="004D36FC" w:rsidP="00D11681">
      <w:pPr>
        <w:pStyle w:val="ListParagraph"/>
        <w:numPr>
          <w:ilvl w:val="0"/>
          <w:numId w:val="26"/>
        </w:numPr>
        <w:spacing w:after="0" w:line="240" w:lineRule="auto"/>
        <w:ind w:left="709"/>
        <w:jc w:val="both"/>
      </w:pPr>
      <w:r>
        <w:t>a</w:t>
      </w:r>
      <w:r w:rsidR="00F878F5" w:rsidRPr="001C17B2">
        <w:t xml:space="preserve"> recognised educational institution</w:t>
      </w:r>
      <w:r>
        <w:t xml:space="preserve"> such as a kindergarten,</w:t>
      </w:r>
      <w:r w:rsidR="00F878F5" w:rsidRPr="001C17B2">
        <w:t xml:space="preserve"> school or kohanga reo.</w:t>
      </w:r>
    </w:p>
    <w:p w14:paraId="27E4B1E8" w14:textId="77777777" w:rsidR="00742DA2" w:rsidRPr="001C17B2" w:rsidRDefault="00742DA2" w:rsidP="009D5A91">
      <w:pPr>
        <w:pStyle w:val="ListParagraph"/>
        <w:numPr>
          <w:ilvl w:val="0"/>
          <w:numId w:val="20"/>
        </w:numPr>
        <w:spacing w:after="0" w:line="240" w:lineRule="auto"/>
        <w:jc w:val="both"/>
      </w:pPr>
    </w:p>
    <w:p w14:paraId="122A68F9" w14:textId="77777777" w:rsidR="00F878F5" w:rsidRDefault="00F878F5" w:rsidP="009D5A91">
      <w:pPr>
        <w:spacing w:after="0" w:line="240" w:lineRule="auto"/>
        <w:jc w:val="both"/>
      </w:pPr>
    </w:p>
    <w:p w14:paraId="599E76C2" w14:textId="77777777" w:rsidR="007A18D3" w:rsidRPr="001C17B2" w:rsidRDefault="007A18D3" w:rsidP="009D5A91">
      <w:pPr>
        <w:spacing w:after="0" w:line="240" w:lineRule="auto"/>
        <w:jc w:val="both"/>
      </w:pPr>
    </w:p>
    <w:p w14:paraId="0009E0EB" w14:textId="77777777" w:rsidR="00F878F5" w:rsidRDefault="00F878F5" w:rsidP="009D5A91">
      <w:pPr>
        <w:spacing w:after="0" w:line="240" w:lineRule="auto"/>
        <w:jc w:val="both"/>
        <w:rPr>
          <w:b/>
        </w:rPr>
      </w:pPr>
      <w:r w:rsidRPr="001C17B2">
        <w:rPr>
          <w:b/>
        </w:rPr>
        <w:t>Conditions of allocation of funds:</w:t>
      </w:r>
    </w:p>
    <w:p w14:paraId="16063D4A" w14:textId="2E3E7095" w:rsidR="00F878F5" w:rsidRPr="001C17B2" w:rsidRDefault="00884492" w:rsidP="009D5A91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Within six months of the date of deposit of funds into the Applicant’s account, a written report with details</w:t>
      </w:r>
      <w:r w:rsidR="009D5A91">
        <w:t xml:space="preserve"> of invoicing and receipts must</w:t>
      </w:r>
      <w:r>
        <w:t xml:space="preserve"> be supplied to the Craters of the Moon Trust.  Any unaccounted funds shall be returned to the Trust.  In the event that the grant has not been spent within 6 months </w:t>
      </w:r>
      <w:r w:rsidR="009D5A91">
        <w:t xml:space="preserve">of the date received </w:t>
      </w:r>
      <w:r>
        <w:t>it shall be returned to the Craters of the Moon Trust.  If the grant has not been uplifted within 6 months of the date of approval it will lapse.</w:t>
      </w:r>
    </w:p>
    <w:p w14:paraId="0869EFEB" w14:textId="77777777" w:rsidR="000932E2" w:rsidRDefault="00F878F5" w:rsidP="009D5A91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</w:pPr>
      <w:r w:rsidRPr="001C17B2">
        <w:t>It is a condition that the proposed grant allocation will be applied for the purpose stated and for no other purpose a</w:t>
      </w:r>
      <w:r w:rsidR="00D95491">
        <w:t>nd that acceptance of the paymen</w:t>
      </w:r>
      <w:r w:rsidRPr="001C17B2">
        <w:t xml:space="preserve">t will be deemed to confirm that the allocation has or will be applied accordingly. </w:t>
      </w:r>
    </w:p>
    <w:p w14:paraId="6325B5B2" w14:textId="5B3E3193" w:rsidR="00F878F5" w:rsidRPr="001C17B2" w:rsidRDefault="000932E2" w:rsidP="009D5A91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</w:pPr>
      <w:r w:rsidRPr="001C17B2">
        <w:t xml:space="preserve">The allocation is made as a </w:t>
      </w:r>
      <w:r w:rsidR="00884492">
        <w:t>grant</w:t>
      </w:r>
      <w:r w:rsidRPr="001C17B2">
        <w:t xml:space="preserve"> from the </w:t>
      </w:r>
      <w:r w:rsidR="00884492">
        <w:t>T</w:t>
      </w:r>
      <w:r w:rsidRPr="001C17B2">
        <w:t>rust and on the condition that no procur</w:t>
      </w:r>
      <w:r w:rsidR="002C67C0">
        <w:t>ement</w:t>
      </w:r>
      <w:r w:rsidRPr="001C17B2">
        <w:t xml:space="preserve"> fee, commission and/or discount has or will be </w:t>
      </w:r>
      <w:r w:rsidR="005462CF" w:rsidRPr="001C17B2">
        <w:t>paid to any person</w:t>
      </w:r>
      <w:r w:rsidR="00F878F5" w:rsidRPr="001C17B2">
        <w:t xml:space="preserve"> and that no identifiable direct benefit arises or may arise in the form of a supply of goods or servi</w:t>
      </w:r>
      <w:r w:rsidR="008834EA">
        <w:t>c</w:t>
      </w:r>
      <w:r w:rsidR="00F878F5" w:rsidRPr="001C17B2">
        <w:t>es to any party in</w:t>
      </w:r>
      <w:r w:rsidR="00D95491">
        <w:t>vo</w:t>
      </w:r>
      <w:r w:rsidR="008834EA">
        <w:t>l</w:t>
      </w:r>
      <w:r w:rsidR="00D95491">
        <w:t>ved as a result of the paymen</w:t>
      </w:r>
      <w:r w:rsidR="00F878F5" w:rsidRPr="001C17B2">
        <w:t>t being made.</w:t>
      </w:r>
    </w:p>
    <w:p w14:paraId="38B86592" w14:textId="43014EC1" w:rsidR="00F878F5" w:rsidRDefault="00F878F5" w:rsidP="009D5A91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</w:pPr>
      <w:r w:rsidRPr="001C17B2">
        <w:t>In the even</w:t>
      </w:r>
      <w:r w:rsidR="00D95491">
        <w:t>t</w:t>
      </w:r>
      <w:r w:rsidRPr="001C17B2">
        <w:t xml:space="preserve"> of non-compliance with any of t</w:t>
      </w:r>
      <w:r w:rsidR="00D95491">
        <w:t>hese conditions</w:t>
      </w:r>
      <w:r w:rsidR="008834EA">
        <w:t>,</w:t>
      </w:r>
      <w:r w:rsidR="00D95491">
        <w:t xml:space="preserve"> an amount equal</w:t>
      </w:r>
      <w:r w:rsidRPr="001C17B2">
        <w:t xml:space="preserve"> to the amount of the grant is immediately repayable to the Craters of the Moon Trust.</w:t>
      </w:r>
    </w:p>
    <w:p w14:paraId="758D20F8" w14:textId="4D5195F6" w:rsidR="00873809" w:rsidRPr="001C17B2" w:rsidRDefault="00873809" w:rsidP="009D5A91">
      <w:pPr>
        <w:pStyle w:val="ListParagraph"/>
        <w:numPr>
          <w:ilvl w:val="0"/>
          <w:numId w:val="22"/>
        </w:numPr>
        <w:spacing w:after="0" w:line="240" w:lineRule="auto"/>
        <w:ind w:left="360"/>
        <w:jc w:val="both"/>
      </w:pPr>
      <w:r>
        <w:t>If an applicant has received funding from multiple sources for the same purpose</w:t>
      </w:r>
      <w:r w:rsidR="009411D4">
        <w:t xml:space="preserve"> the Trust </w:t>
      </w:r>
      <w:r>
        <w:t>requires that the applicant repays CMT any portion of the grant that exceeds the total amount required for the stated purpose</w:t>
      </w:r>
    </w:p>
    <w:p w14:paraId="151D55A1" w14:textId="77777777" w:rsidR="00F878F5" w:rsidRPr="001C17B2" w:rsidRDefault="00F878F5" w:rsidP="009D5A91">
      <w:pPr>
        <w:spacing w:after="0" w:line="240" w:lineRule="auto"/>
        <w:jc w:val="both"/>
      </w:pPr>
    </w:p>
    <w:p w14:paraId="216AAED2" w14:textId="77777777" w:rsidR="000472B8" w:rsidRPr="001C17B2" w:rsidRDefault="000472B8" w:rsidP="009D5A91">
      <w:pPr>
        <w:spacing w:after="0" w:line="240" w:lineRule="auto"/>
        <w:jc w:val="both"/>
      </w:pPr>
      <w:r w:rsidRPr="001C17B2">
        <w:rPr>
          <w:b/>
        </w:rPr>
        <w:t>Applications may be declined for the following reasons:</w:t>
      </w:r>
    </w:p>
    <w:p w14:paraId="14C18403" w14:textId="043982F4" w:rsidR="000472B8" w:rsidRPr="001C17B2" w:rsidRDefault="00873809" w:rsidP="009D5A91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lastRenderedPageBreak/>
        <w:t>G</w:t>
      </w:r>
      <w:r w:rsidR="000472B8" w:rsidRPr="001C17B2">
        <w:t>rant</w:t>
      </w:r>
      <w:r>
        <w:t>s</w:t>
      </w:r>
      <w:r w:rsidR="000472B8" w:rsidRPr="001C17B2">
        <w:t xml:space="preserve"> for events that have already occurred o</w:t>
      </w:r>
      <w:r w:rsidR="00D95491">
        <w:t>r for items that have already b</w:t>
      </w:r>
      <w:r w:rsidR="000472B8" w:rsidRPr="001C17B2">
        <w:t>een purchase</w:t>
      </w:r>
      <w:r w:rsidR="00D95491">
        <w:t xml:space="preserve">d </w:t>
      </w:r>
      <w:r w:rsidR="000472B8" w:rsidRPr="001C17B2">
        <w:t>at the date</w:t>
      </w:r>
      <w:r>
        <w:t xml:space="preserve"> of the application</w:t>
      </w:r>
      <w:r w:rsidR="000472B8" w:rsidRPr="001C17B2">
        <w:t>.</w:t>
      </w:r>
    </w:p>
    <w:p w14:paraId="5EF212C5" w14:textId="4C0FB63C" w:rsidR="000472B8" w:rsidRPr="001C17B2" w:rsidRDefault="00873809" w:rsidP="009D5A91">
      <w:pPr>
        <w:pStyle w:val="ListParagraph"/>
        <w:numPr>
          <w:ilvl w:val="0"/>
          <w:numId w:val="23"/>
        </w:numPr>
        <w:spacing w:after="0" w:line="240" w:lineRule="auto"/>
        <w:jc w:val="both"/>
      </w:pPr>
      <w:r>
        <w:t>Grants will not be considered</w:t>
      </w:r>
      <w:r w:rsidR="000472B8" w:rsidRPr="001C17B2">
        <w:t xml:space="preserve"> if the a</w:t>
      </w:r>
      <w:r w:rsidR="00D95491">
        <w:t>pplicant g</w:t>
      </w:r>
      <w:r w:rsidR="000472B8" w:rsidRPr="001C17B2">
        <w:t xml:space="preserve">roup has not </w:t>
      </w:r>
      <w:r>
        <w:t>accounted for the</w:t>
      </w:r>
      <w:r w:rsidR="000472B8" w:rsidRPr="001C17B2">
        <w:t xml:space="preserve"> spending from a</w:t>
      </w:r>
      <w:r>
        <w:t>ny</w:t>
      </w:r>
      <w:r w:rsidR="000472B8" w:rsidRPr="001C17B2">
        <w:t xml:space="preserve"> previous grant. The </w:t>
      </w:r>
      <w:r>
        <w:t xml:space="preserve">reporting </w:t>
      </w:r>
      <w:r w:rsidR="000472B8" w:rsidRPr="001C17B2">
        <w:t xml:space="preserve">requirements are </w:t>
      </w:r>
      <w:r>
        <w:t>included in documentation</w:t>
      </w:r>
      <w:r w:rsidR="00752505">
        <w:t xml:space="preserve"> sent to applic</w:t>
      </w:r>
      <w:r w:rsidR="000472B8" w:rsidRPr="001C17B2">
        <w:t xml:space="preserve">ants when notified of the success of </w:t>
      </w:r>
      <w:r>
        <w:t>an</w:t>
      </w:r>
      <w:r w:rsidR="000472B8" w:rsidRPr="001C17B2">
        <w:t xml:space="preserve"> application.</w:t>
      </w:r>
    </w:p>
    <w:p w14:paraId="07C70BCD" w14:textId="4AA12C2C" w:rsidR="000472B8" w:rsidRPr="001C17B2" w:rsidRDefault="000472B8" w:rsidP="009D5A91">
      <w:pPr>
        <w:pStyle w:val="ListParagraph"/>
        <w:numPr>
          <w:ilvl w:val="0"/>
          <w:numId w:val="23"/>
        </w:numPr>
        <w:spacing w:after="0" w:line="240" w:lineRule="auto"/>
        <w:jc w:val="both"/>
      </w:pPr>
      <w:r w:rsidRPr="001C17B2">
        <w:t>All decline</w:t>
      </w:r>
      <w:r w:rsidR="00D95491">
        <w:t>d</w:t>
      </w:r>
      <w:r w:rsidRPr="001C17B2">
        <w:t xml:space="preserve"> applica</w:t>
      </w:r>
      <w:r w:rsidR="00D95491">
        <w:t>t</w:t>
      </w:r>
      <w:r w:rsidRPr="001C17B2">
        <w:t>ions are held by the Craters of the Moon Trust for admin</w:t>
      </w:r>
      <w:r w:rsidR="00873809">
        <w:t>i</w:t>
      </w:r>
      <w:r w:rsidRPr="001C17B2">
        <w:t xml:space="preserve">strative and </w:t>
      </w:r>
      <w:r w:rsidR="00D95491">
        <w:t>a</w:t>
      </w:r>
      <w:r w:rsidRPr="001C17B2">
        <w:t>uditing purposes</w:t>
      </w:r>
      <w:r w:rsidR="00873809">
        <w:t>.  A</w:t>
      </w:r>
      <w:r w:rsidRPr="001C17B2">
        <w:t>pplicants are informed of the</w:t>
      </w:r>
      <w:r w:rsidR="00873809">
        <w:t xml:space="preserve"> Trust’s</w:t>
      </w:r>
      <w:r w:rsidRPr="001C17B2">
        <w:t xml:space="preserve"> decision as soon as is practicable. </w:t>
      </w:r>
    </w:p>
    <w:p w14:paraId="7A1C7117" w14:textId="77777777" w:rsidR="000932E2" w:rsidRDefault="000932E2" w:rsidP="009D5A91">
      <w:pPr>
        <w:spacing w:after="0" w:line="240" w:lineRule="auto"/>
        <w:jc w:val="both"/>
        <w:rPr>
          <w:i/>
        </w:rPr>
      </w:pPr>
    </w:p>
    <w:p w14:paraId="2F3ECE10" w14:textId="77777777" w:rsidR="007A18D3" w:rsidRDefault="007A18D3" w:rsidP="009D5A91">
      <w:pPr>
        <w:spacing w:after="0" w:line="240" w:lineRule="auto"/>
        <w:jc w:val="both"/>
        <w:rPr>
          <w:i/>
        </w:rPr>
      </w:pPr>
    </w:p>
    <w:p w14:paraId="302B7359" w14:textId="5E07D8E9" w:rsidR="000472B8" w:rsidRPr="000932E2" w:rsidRDefault="000472B8" w:rsidP="009D5A91">
      <w:pPr>
        <w:spacing w:after="0" w:line="240" w:lineRule="auto"/>
        <w:jc w:val="both"/>
        <w:rPr>
          <w:i/>
        </w:rPr>
      </w:pPr>
      <w:r w:rsidRPr="000932E2">
        <w:rPr>
          <w:i/>
        </w:rPr>
        <w:t>The following are examples of activities that w</w:t>
      </w:r>
      <w:r w:rsidR="008834EA">
        <w:rPr>
          <w:i/>
        </w:rPr>
        <w:t>ill not</w:t>
      </w:r>
      <w:r w:rsidRPr="000932E2">
        <w:rPr>
          <w:i/>
        </w:rPr>
        <w:t xml:space="preserve"> be funded:</w:t>
      </w:r>
    </w:p>
    <w:p w14:paraId="0DF4D7B4" w14:textId="77777777" w:rsidR="000472B8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>Where there is commercial gain for an applicant or related party</w:t>
      </w:r>
    </w:p>
    <w:p w14:paraId="0503DAFA" w14:textId="77777777" w:rsidR="000472B8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>To further the activities of professional sports persons or teams</w:t>
      </w:r>
    </w:p>
    <w:p w14:paraId="7FF46057" w14:textId="77777777" w:rsidR="000472B8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>To an individual (unless t</w:t>
      </w:r>
      <w:r w:rsidR="00D95491">
        <w:t>he grant is made to, and adminis</w:t>
      </w:r>
      <w:r w:rsidRPr="001C17B2">
        <w:t>ter</w:t>
      </w:r>
      <w:r w:rsidR="00D95491">
        <w:t>e</w:t>
      </w:r>
      <w:r w:rsidRPr="001C17B2">
        <w:t>d by, an incorporated body to which the individual is affiliated)</w:t>
      </w:r>
    </w:p>
    <w:p w14:paraId="5D20DA4C" w14:textId="77777777" w:rsidR="000472B8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>Affiliation/registration fees</w:t>
      </w:r>
    </w:p>
    <w:p w14:paraId="506376A4" w14:textId="77777777" w:rsidR="000472B8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>Social events or trips</w:t>
      </w:r>
    </w:p>
    <w:p w14:paraId="12CB5409" w14:textId="77777777" w:rsidR="000472B8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>Family reunions</w:t>
      </w:r>
    </w:p>
    <w:p w14:paraId="1D63AAAC" w14:textId="77777777" w:rsidR="000472B8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 xml:space="preserve">Costs relating to entertainment, food or refreshment </w:t>
      </w:r>
    </w:p>
    <w:p w14:paraId="13975451" w14:textId="77777777" w:rsidR="000472B8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>Subsidies to vehicles intended for purposes associated with social functions</w:t>
      </w:r>
    </w:p>
    <w:p w14:paraId="2F8A5402" w14:textId="77777777" w:rsidR="000932E2" w:rsidRPr="001C17B2" w:rsidRDefault="000472B8" w:rsidP="009D5A91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1C17B2">
        <w:t>Prizes and trophies</w:t>
      </w:r>
    </w:p>
    <w:p w14:paraId="68C5AD7C" w14:textId="77777777" w:rsidR="00D95491" w:rsidRDefault="00D95491" w:rsidP="009D5A91">
      <w:pPr>
        <w:spacing w:after="0" w:line="240" w:lineRule="auto"/>
        <w:contextualSpacing/>
        <w:jc w:val="both"/>
        <w:rPr>
          <w:b/>
        </w:rPr>
      </w:pPr>
    </w:p>
    <w:p w14:paraId="26100104" w14:textId="77777777" w:rsidR="00CE3AF4" w:rsidRDefault="00CE3AF4" w:rsidP="009D5A91">
      <w:pPr>
        <w:spacing w:after="0" w:line="240" w:lineRule="auto"/>
        <w:contextualSpacing/>
        <w:jc w:val="both"/>
        <w:rPr>
          <w:b/>
        </w:rPr>
      </w:pPr>
    </w:p>
    <w:p w14:paraId="407481C1" w14:textId="74705428" w:rsidR="00B31EB5" w:rsidRPr="00CE3AF4" w:rsidRDefault="00AC2EA6" w:rsidP="009D5A9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lang w:val="en-US"/>
        </w:rPr>
        <w:t>Application Requirements</w:t>
      </w:r>
    </w:p>
    <w:p w14:paraId="50A2995C" w14:textId="2428753E" w:rsidR="00B31EB5" w:rsidRPr="00CE3AF4" w:rsidRDefault="001113CD" w:rsidP="009D5A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MS Mincho" w:hAnsi="Calibri" w:cs="Times New Roman"/>
          <w:lang w:val="en-US"/>
        </w:rPr>
      </w:pPr>
      <w:r>
        <w:rPr>
          <w:rFonts w:ascii="Calibri" w:eastAsia="MS Mincho" w:hAnsi="Calibri" w:cs="Times New Roman"/>
          <w:lang w:val="en-US"/>
        </w:rPr>
        <w:t>A</w:t>
      </w:r>
      <w:r w:rsidR="005C63AC">
        <w:rPr>
          <w:rFonts w:ascii="Calibri" w:eastAsia="MS Mincho" w:hAnsi="Calibri" w:cs="Times New Roman"/>
          <w:lang w:val="en-US"/>
        </w:rPr>
        <w:t>t least two</w:t>
      </w:r>
      <w:r w:rsidR="00B31EB5" w:rsidRPr="00CE3AF4">
        <w:rPr>
          <w:rFonts w:ascii="Calibri" w:eastAsia="MS Mincho" w:hAnsi="Calibri" w:cs="Times New Roman"/>
          <w:lang w:val="en-US"/>
        </w:rPr>
        <w:t xml:space="preserve"> quote</w:t>
      </w:r>
      <w:r w:rsidR="005C63AC">
        <w:rPr>
          <w:rFonts w:ascii="Calibri" w:eastAsia="MS Mincho" w:hAnsi="Calibri" w:cs="Times New Roman"/>
          <w:lang w:val="en-US"/>
        </w:rPr>
        <w:t>s are</w:t>
      </w:r>
      <w:r w:rsidR="00B31EB5" w:rsidRPr="00CE3AF4">
        <w:rPr>
          <w:rFonts w:ascii="Calibri" w:eastAsia="MS Mincho" w:hAnsi="Calibri" w:cs="Times New Roman"/>
          <w:lang w:val="en-US"/>
        </w:rPr>
        <w:t xml:space="preserve"> required for goods or</w:t>
      </w:r>
      <w:r w:rsidR="00B31EB5">
        <w:rPr>
          <w:rFonts w:ascii="Calibri" w:eastAsia="MS Mincho" w:hAnsi="Calibri" w:cs="Times New Roman"/>
          <w:lang w:val="en-US"/>
        </w:rPr>
        <w:t xml:space="preserve"> services which require funding:</w:t>
      </w:r>
    </w:p>
    <w:p w14:paraId="08E24CDF" w14:textId="77777777" w:rsidR="00B31EB5" w:rsidRPr="00CE3AF4" w:rsidRDefault="00B31EB5" w:rsidP="009D5A9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>Quotes must be less than three months old, be addressed to the applicant group and contain full supplier details (name, address, telephone, GST status, etc).</w:t>
      </w:r>
    </w:p>
    <w:p w14:paraId="3E7F1E4E" w14:textId="2D6A4352" w:rsidR="00B31EB5" w:rsidRPr="00CE3AF4" w:rsidRDefault="00B31EB5" w:rsidP="009D5A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>Minutes of the</w:t>
      </w:r>
      <w:r w:rsidR="001113CD">
        <w:rPr>
          <w:rFonts w:ascii="Calibri" w:eastAsia="MS Mincho" w:hAnsi="Calibri" w:cs="Times New Roman"/>
          <w:lang w:val="en-US"/>
        </w:rPr>
        <w:t xml:space="preserve"> applicant organisation’s</w:t>
      </w:r>
      <w:r w:rsidRPr="00CE3AF4">
        <w:rPr>
          <w:rFonts w:ascii="Calibri" w:eastAsia="MS Mincho" w:hAnsi="Calibri" w:cs="Times New Roman"/>
          <w:lang w:val="en-US"/>
        </w:rPr>
        <w:t xml:space="preserve"> committee/executive meeting including:</w:t>
      </w:r>
    </w:p>
    <w:p w14:paraId="2DBA6157" w14:textId="48F657C3" w:rsidR="00B31EB5" w:rsidRPr="00CE3AF4" w:rsidRDefault="00B31EB5" w:rsidP="009D5A9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>Full names of all members attending meeting</w:t>
      </w:r>
      <w:r w:rsidR="009D5A91">
        <w:rPr>
          <w:rFonts w:ascii="Calibri" w:eastAsia="MS Mincho" w:hAnsi="Calibri" w:cs="Times New Roman"/>
          <w:lang w:val="en-US"/>
        </w:rPr>
        <w:t>.</w:t>
      </w:r>
    </w:p>
    <w:p w14:paraId="623519A0" w14:textId="50303CCB" w:rsidR="00B31EB5" w:rsidRPr="00CE3AF4" w:rsidRDefault="00B31EB5" w:rsidP="009D5A9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>A resolution to apply for funding from the Craters of the Moon Trust for the purpose and amount for which the funding is required.</w:t>
      </w:r>
    </w:p>
    <w:p w14:paraId="2A24F2DB" w14:textId="77777777" w:rsidR="00B31EB5" w:rsidRPr="00CE3AF4" w:rsidRDefault="00B31EB5" w:rsidP="009D5A9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 xml:space="preserve">Minutes and resolution must be certified as true and correct, and signed by the Secretary/Chairperson or other executive member. </w:t>
      </w:r>
    </w:p>
    <w:p w14:paraId="66858C54" w14:textId="77777777" w:rsidR="00B31EB5" w:rsidRPr="00CE3AF4" w:rsidRDefault="00B31EB5" w:rsidP="009D5A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>For Sporting Groups</w:t>
      </w:r>
      <w:r>
        <w:rPr>
          <w:rFonts w:ascii="Calibri" w:eastAsia="MS Mincho" w:hAnsi="Calibri" w:cs="Times New Roman"/>
          <w:lang w:val="en-US"/>
        </w:rPr>
        <w:t>:</w:t>
      </w:r>
    </w:p>
    <w:p w14:paraId="0F80EE10" w14:textId="57830D8B" w:rsidR="00B31EB5" w:rsidRPr="006753BF" w:rsidRDefault="00B31EB5" w:rsidP="009D5A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>Proof of current affiliation to a national or regional body.</w:t>
      </w:r>
    </w:p>
    <w:p w14:paraId="1F49F802" w14:textId="77777777" w:rsidR="001113CD" w:rsidRPr="009D5A91" w:rsidRDefault="001113CD" w:rsidP="009D5A91">
      <w:pPr>
        <w:pStyle w:val="ColorfulList-Accent11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D5A91">
        <w:rPr>
          <w:rFonts w:ascii="Calibri" w:hAnsi="Calibri"/>
          <w:sz w:val="22"/>
          <w:szCs w:val="22"/>
        </w:rPr>
        <w:t>Incorporated Societies must provide:</w:t>
      </w:r>
    </w:p>
    <w:p w14:paraId="73BC2324" w14:textId="2D91B121" w:rsidR="001113CD" w:rsidRPr="009D5A91" w:rsidRDefault="001113CD" w:rsidP="009D5A91">
      <w:pPr>
        <w:pStyle w:val="ColorfulList-Accent11"/>
        <w:numPr>
          <w:ilvl w:val="0"/>
          <w:numId w:val="8"/>
        </w:numPr>
        <w:ind w:left="720"/>
        <w:jc w:val="both"/>
        <w:rPr>
          <w:rFonts w:ascii="Calibri" w:hAnsi="Calibri"/>
          <w:sz w:val="22"/>
          <w:szCs w:val="22"/>
        </w:rPr>
      </w:pPr>
      <w:r w:rsidRPr="009D5A91">
        <w:rPr>
          <w:rFonts w:ascii="Calibri" w:hAnsi="Calibri"/>
          <w:sz w:val="22"/>
          <w:szCs w:val="22"/>
        </w:rPr>
        <w:t>Common Seal and Certification of Incorporation</w:t>
      </w:r>
      <w:r w:rsidR="009D5A91">
        <w:rPr>
          <w:rFonts w:ascii="Calibri" w:hAnsi="Calibri"/>
          <w:sz w:val="22"/>
          <w:szCs w:val="22"/>
        </w:rPr>
        <w:t>.</w:t>
      </w:r>
    </w:p>
    <w:p w14:paraId="139D01AF" w14:textId="3F667515" w:rsidR="001113CD" w:rsidRPr="009D5A91" w:rsidRDefault="001113CD" w:rsidP="009D5A91">
      <w:pPr>
        <w:pStyle w:val="ColorfulList-Accent11"/>
        <w:numPr>
          <w:ilvl w:val="0"/>
          <w:numId w:val="8"/>
        </w:numPr>
        <w:ind w:left="720"/>
        <w:jc w:val="both"/>
        <w:rPr>
          <w:rFonts w:ascii="Calibri" w:hAnsi="Calibri"/>
          <w:sz w:val="22"/>
          <w:szCs w:val="22"/>
        </w:rPr>
      </w:pPr>
      <w:r w:rsidRPr="009D5A91">
        <w:rPr>
          <w:rFonts w:ascii="Calibri" w:hAnsi="Calibri"/>
          <w:sz w:val="22"/>
          <w:szCs w:val="22"/>
        </w:rPr>
        <w:t xml:space="preserve">If </w:t>
      </w:r>
      <w:r w:rsidR="00CC58F2">
        <w:rPr>
          <w:rFonts w:ascii="Calibri" w:hAnsi="Calibri"/>
          <w:sz w:val="22"/>
          <w:szCs w:val="22"/>
        </w:rPr>
        <w:t>n</w:t>
      </w:r>
      <w:r w:rsidRPr="009D5A91">
        <w:rPr>
          <w:rFonts w:ascii="Calibri" w:hAnsi="Calibri"/>
          <w:sz w:val="22"/>
          <w:szCs w:val="22"/>
        </w:rPr>
        <w:t>o</w:t>
      </w:r>
      <w:r w:rsidR="00ED2D95">
        <w:rPr>
          <w:rFonts w:ascii="Calibri" w:hAnsi="Calibri"/>
          <w:sz w:val="22"/>
          <w:szCs w:val="22"/>
        </w:rPr>
        <w:t>t</w:t>
      </w:r>
      <w:r w:rsidRPr="009D5A91">
        <w:rPr>
          <w:rFonts w:ascii="Calibri" w:hAnsi="Calibri"/>
          <w:sz w:val="22"/>
          <w:szCs w:val="22"/>
        </w:rPr>
        <w:t>, then a copy of the organisation’s constitution.</w:t>
      </w:r>
    </w:p>
    <w:p w14:paraId="095655BE" w14:textId="483A3B20" w:rsidR="001113CD" w:rsidRPr="005F1370" w:rsidRDefault="001113CD" w:rsidP="009D5A91">
      <w:pPr>
        <w:pStyle w:val="ColorfulList-Accent11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5F1370">
        <w:rPr>
          <w:rFonts w:ascii="Calibri" w:hAnsi="Calibri"/>
          <w:sz w:val="22"/>
          <w:szCs w:val="22"/>
        </w:rPr>
        <w:t>Charitable Trusts</w:t>
      </w:r>
      <w:r>
        <w:rPr>
          <w:rFonts w:ascii="Calibri" w:hAnsi="Calibri"/>
          <w:sz w:val="22"/>
          <w:szCs w:val="22"/>
        </w:rPr>
        <w:t xml:space="preserve"> </w:t>
      </w:r>
      <w:r w:rsidR="009D5A91">
        <w:rPr>
          <w:rFonts w:ascii="Calibri" w:hAnsi="Calibri"/>
          <w:sz w:val="22"/>
          <w:szCs w:val="22"/>
        </w:rPr>
        <w:t>must</w:t>
      </w:r>
      <w:r w:rsidRPr="005F1370">
        <w:rPr>
          <w:rFonts w:ascii="Calibri" w:hAnsi="Calibri"/>
          <w:sz w:val="22"/>
          <w:szCs w:val="22"/>
        </w:rPr>
        <w:t xml:space="preserve"> provide:</w:t>
      </w:r>
    </w:p>
    <w:p w14:paraId="50241238" w14:textId="2740DFF6" w:rsidR="001113CD" w:rsidRPr="005F1370" w:rsidRDefault="001113CD" w:rsidP="009D5A91">
      <w:pPr>
        <w:pStyle w:val="ColorfulList-Accent11"/>
        <w:numPr>
          <w:ilvl w:val="0"/>
          <w:numId w:val="9"/>
        </w:numPr>
        <w:ind w:left="720"/>
        <w:jc w:val="both"/>
        <w:rPr>
          <w:rFonts w:ascii="Calibri" w:hAnsi="Calibri"/>
          <w:sz w:val="22"/>
          <w:szCs w:val="22"/>
        </w:rPr>
      </w:pPr>
      <w:r w:rsidRPr="005F1370">
        <w:rPr>
          <w:rFonts w:ascii="Calibri" w:hAnsi="Calibri"/>
          <w:sz w:val="22"/>
          <w:szCs w:val="22"/>
        </w:rPr>
        <w:t>Certificate of Incorporation and Proof of non-profit status</w:t>
      </w:r>
      <w:r w:rsidR="009D5A91">
        <w:rPr>
          <w:rFonts w:ascii="Calibri" w:hAnsi="Calibri"/>
          <w:sz w:val="22"/>
          <w:szCs w:val="22"/>
        </w:rPr>
        <w:t>.</w:t>
      </w:r>
    </w:p>
    <w:p w14:paraId="12DBD107" w14:textId="06B52C1B" w:rsidR="001113CD" w:rsidRPr="005F1370" w:rsidRDefault="001113CD" w:rsidP="009D5A91">
      <w:pPr>
        <w:pStyle w:val="ColorfulList-Accent11"/>
        <w:numPr>
          <w:ilvl w:val="0"/>
          <w:numId w:val="9"/>
        </w:numPr>
        <w:ind w:left="720"/>
        <w:jc w:val="both"/>
        <w:rPr>
          <w:rFonts w:ascii="Calibri" w:hAnsi="Calibri"/>
          <w:sz w:val="22"/>
          <w:szCs w:val="22"/>
        </w:rPr>
      </w:pPr>
      <w:r w:rsidRPr="005F1370">
        <w:rPr>
          <w:rFonts w:ascii="Calibri" w:hAnsi="Calibri"/>
          <w:sz w:val="22"/>
          <w:szCs w:val="22"/>
        </w:rPr>
        <w:t xml:space="preserve">Charities Registered </w:t>
      </w:r>
      <w:r w:rsidR="00CC58F2">
        <w:rPr>
          <w:rFonts w:ascii="Calibri" w:hAnsi="Calibri"/>
          <w:sz w:val="22"/>
          <w:szCs w:val="22"/>
        </w:rPr>
        <w:t>number</w:t>
      </w:r>
      <w:r w:rsidRPr="005F1370">
        <w:rPr>
          <w:rFonts w:ascii="Calibri" w:hAnsi="Calibri"/>
          <w:sz w:val="22"/>
          <w:szCs w:val="22"/>
        </w:rPr>
        <w:t xml:space="preserve"> (if applicable)</w:t>
      </w:r>
    </w:p>
    <w:p w14:paraId="15EEB57D" w14:textId="7F4EBB3F" w:rsidR="001113CD" w:rsidRDefault="001113CD" w:rsidP="009D5A91">
      <w:pPr>
        <w:pStyle w:val="ColorfulList-Accent11"/>
        <w:numPr>
          <w:ilvl w:val="0"/>
          <w:numId w:val="9"/>
        </w:numPr>
        <w:ind w:left="720"/>
        <w:jc w:val="both"/>
        <w:rPr>
          <w:rFonts w:ascii="Calibri" w:hAnsi="Calibri"/>
          <w:sz w:val="22"/>
          <w:szCs w:val="22"/>
        </w:rPr>
      </w:pPr>
      <w:r w:rsidRPr="005F1370">
        <w:rPr>
          <w:rFonts w:ascii="Calibri" w:hAnsi="Calibri"/>
          <w:sz w:val="22"/>
          <w:szCs w:val="22"/>
        </w:rPr>
        <w:t>IRD Tax Certificate (if applicable).</w:t>
      </w:r>
    </w:p>
    <w:p w14:paraId="0A726CFB" w14:textId="6D033FB0" w:rsidR="00706AA3" w:rsidRDefault="00706AA3" w:rsidP="00706AA3">
      <w:pPr>
        <w:pStyle w:val="ColorfulList-Accent11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 may also be asked to provide:</w:t>
      </w:r>
    </w:p>
    <w:p w14:paraId="30AF2445" w14:textId="4B604156" w:rsidR="00706AA3" w:rsidRPr="005F1370" w:rsidRDefault="00706AA3" w:rsidP="00706AA3">
      <w:pPr>
        <w:pStyle w:val="ColorfulList-Accent11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copy of their Trust Deed.</w:t>
      </w:r>
    </w:p>
    <w:p w14:paraId="01B53BE1" w14:textId="392A462E" w:rsidR="001113CD" w:rsidRPr="005F1370" w:rsidRDefault="001113CD" w:rsidP="009D5A91">
      <w:pPr>
        <w:pStyle w:val="ColorfulList-Accent11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organis</w:t>
      </w:r>
      <w:r w:rsidRPr="005F1370">
        <w:rPr>
          <w:rFonts w:ascii="Calibri" w:hAnsi="Calibri"/>
          <w:sz w:val="22"/>
          <w:szCs w:val="22"/>
        </w:rPr>
        <w:t xml:space="preserve">ations </w:t>
      </w:r>
      <w:r w:rsidR="009D5A91">
        <w:rPr>
          <w:rFonts w:ascii="Calibri" w:hAnsi="Calibri"/>
          <w:sz w:val="22"/>
          <w:szCs w:val="22"/>
        </w:rPr>
        <w:t>must</w:t>
      </w:r>
      <w:r w:rsidRPr="005F1370">
        <w:rPr>
          <w:rFonts w:ascii="Calibri" w:hAnsi="Calibri"/>
          <w:sz w:val="22"/>
          <w:szCs w:val="22"/>
        </w:rPr>
        <w:t xml:space="preserve"> provide:</w:t>
      </w:r>
    </w:p>
    <w:p w14:paraId="20C6D472" w14:textId="7CFB1F8D" w:rsidR="001113CD" w:rsidRPr="005F1370" w:rsidRDefault="001113CD" w:rsidP="009D5A91">
      <w:pPr>
        <w:pStyle w:val="ColorfulList-Accent11"/>
        <w:numPr>
          <w:ilvl w:val="0"/>
          <w:numId w:val="10"/>
        </w:numPr>
        <w:ind w:left="720"/>
        <w:jc w:val="both"/>
        <w:rPr>
          <w:rFonts w:ascii="Calibri" w:hAnsi="Calibri"/>
          <w:sz w:val="22"/>
          <w:szCs w:val="22"/>
        </w:rPr>
      </w:pPr>
      <w:r w:rsidRPr="005F1370">
        <w:rPr>
          <w:rFonts w:ascii="Calibri" w:hAnsi="Calibri"/>
          <w:sz w:val="22"/>
          <w:szCs w:val="22"/>
        </w:rPr>
        <w:t>Proof of non-profit status</w:t>
      </w:r>
      <w:r w:rsidR="009D5A91">
        <w:rPr>
          <w:rFonts w:ascii="Calibri" w:hAnsi="Calibri"/>
          <w:sz w:val="22"/>
          <w:szCs w:val="22"/>
        </w:rPr>
        <w:t>.</w:t>
      </w:r>
    </w:p>
    <w:p w14:paraId="06D0EB9E" w14:textId="6F69BC1B" w:rsidR="001113CD" w:rsidRPr="005F1370" w:rsidRDefault="001113CD" w:rsidP="009D5A91">
      <w:pPr>
        <w:pStyle w:val="ColorfulList-Accent11"/>
        <w:numPr>
          <w:ilvl w:val="0"/>
          <w:numId w:val="10"/>
        </w:numPr>
        <w:ind w:left="720"/>
        <w:jc w:val="both"/>
        <w:rPr>
          <w:rFonts w:ascii="Calibri" w:hAnsi="Calibri"/>
          <w:sz w:val="22"/>
          <w:szCs w:val="22"/>
        </w:rPr>
      </w:pPr>
      <w:r w:rsidRPr="005F1370">
        <w:rPr>
          <w:rFonts w:ascii="Calibri" w:hAnsi="Calibri"/>
          <w:sz w:val="22"/>
          <w:szCs w:val="22"/>
        </w:rPr>
        <w:t xml:space="preserve">In the case of </w:t>
      </w:r>
      <w:r w:rsidR="00ED2D95">
        <w:rPr>
          <w:rFonts w:ascii="Calibri" w:hAnsi="Calibri"/>
          <w:sz w:val="22"/>
          <w:szCs w:val="22"/>
        </w:rPr>
        <w:t>an educational institution</w:t>
      </w:r>
      <w:r w:rsidRPr="005F1370">
        <w:rPr>
          <w:rFonts w:ascii="Calibri" w:hAnsi="Calibri"/>
          <w:sz w:val="22"/>
          <w:szCs w:val="22"/>
        </w:rPr>
        <w:t>, endorsement from the Principal</w:t>
      </w:r>
      <w:r w:rsidR="00ED2D95">
        <w:rPr>
          <w:rFonts w:ascii="Calibri" w:hAnsi="Calibri"/>
          <w:sz w:val="22"/>
          <w:szCs w:val="22"/>
        </w:rPr>
        <w:t>/Board chairperson</w:t>
      </w:r>
      <w:r w:rsidRPr="005F1370">
        <w:rPr>
          <w:rFonts w:ascii="Calibri" w:hAnsi="Calibri"/>
          <w:sz w:val="22"/>
          <w:szCs w:val="22"/>
        </w:rPr>
        <w:t xml:space="preserve"> on school letterhead.</w:t>
      </w:r>
    </w:p>
    <w:p w14:paraId="19BC8CC2" w14:textId="449B0B10" w:rsidR="00B31EB5" w:rsidRPr="00D11681" w:rsidRDefault="00B31EB5" w:rsidP="00D1168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MS Mincho" w:hAnsi="Calibri" w:cs="Times New Roman"/>
          <w:lang w:val="en-US"/>
        </w:rPr>
      </w:pPr>
      <w:r w:rsidRPr="001C7827">
        <w:rPr>
          <w:rFonts w:ascii="Calibri" w:eastAsia="MS Mincho" w:hAnsi="Calibri" w:cs="Times New Roman"/>
          <w:lang w:val="en-US"/>
        </w:rPr>
        <w:t>Bank account details for the applicant organisation must be:</w:t>
      </w:r>
    </w:p>
    <w:p w14:paraId="7170AC84" w14:textId="77777777" w:rsidR="00B31EB5" w:rsidRPr="00CE3AF4" w:rsidRDefault="00B31EB5" w:rsidP="001C782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>Bank-generated account details verified by the bank.</w:t>
      </w:r>
    </w:p>
    <w:p w14:paraId="0A972D15" w14:textId="77777777" w:rsidR="00B31EB5" w:rsidRPr="00CE3AF4" w:rsidRDefault="00B31EB5" w:rsidP="00B31EB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textAlignment w:val="baseline"/>
        <w:rPr>
          <w:rFonts w:ascii="Calibri" w:eastAsia="MS Mincho" w:hAnsi="Calibri" w:cs="Times New Roman"/>
          <w:lang w:val="en-US"/>
        </w:rPr>
      </w:pPr>
      <w:r w:rsidRPr="00CE3AF4">
        <w:rPr>
          <w:rFonts w:ascii="Calibri" w:eastAsia="MS Mincho" w:hAnsi="Calibri" w:cs="Times New Roman"/>
          <w:lang w:val="en-US"/>
        </w:rPr>
        <w:t>The application must be signed and dated by two authorised persons.</w:t>
      </w:r>
    </w:p>
    <w:p w14:paraId="4F03C2F4" w14:textId="1C1723C3" w:rsidR="00CE3AF4" w:rsidRDefault="00B31EB5" w:rsidP="00D1168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textAlignment w:val="baseline"/>
        <w:rPr>
          <w:b/>
        </w:rPr>
      </w:pPr>
      <w:r w:rsidRPr="00CE3AF4">
        <w:rPr>
          <w:rFonts w:ascii="Calibri" w:eastAsia="MS Mincho" w:hAnsi="Calibri" w:cs="Times New Roman"/>
          <w:lang w:val="en-US"/>
        </w:rPr>
        <w:t xml:space="preserve">The </w:t>
      </w:r>
      <w:r w:rsidR="00ED2D95">
        <w:rPr>
          <w:rFonts w:ascii="Calibri" w:eastAsia="MS Mincho" w:hAnsi="Calibri" w:cs="Times New Roman"/>
          <w:lang w:val="en-US"/>
        </w:rPr>
        <w:t>Consent to Audit and Authorisation for Application</w:t>
      </w:r>
      <w:r w:rsidRPr="00CE3AF4">
        <w:rPr>
          <w:rFonts w:ascii="Calibri" w:eastAsia="MS Mincho" w:hAnsi="Calibri" w:cs="Times New Roman"/>
          <w:lang w:val="en-US"/>
        </w:rPr>
        <w:t xml:space="preserve"> of funding mu</w:t>
      </w:r>
      <w:r w:rsidR="00AC2EA6">
        <w:rPr>
          <w:rFonts w:ascii="Calibri" w:eastAsia="MS Mincho" w:hAnsi="Calibri" w:cs="Times New Roman"/>
          <w:lang w:val="en-US"/>
        </w:rPr>
        <w:t>st be signed and returned.</w:t>
      </w:r>
    </w:p>
    <w:sectPr w:rsidR="00CE3AF4" w:rsidSect="00866681">
      <w:footerReference w:type="default" r:id="rId8"/>
      <w:headerReference w:type="first" r:id="rId9"/>
      <w:footerReference w:type="first" r:id="rId10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E70FF" w14:textId="77777777" w:rsidR="00A846B7" w:rsidRDefault="00A846B7" w:rsidP="007F4BAC">
      <w:pPr>
        <w:spacing w:after="0" w:line="240" w:lineRule="auto"/>
      </w:pPr>
      <w:r>
        <w:separator/>
      </w:r>
    </w:p>
  </w:endnote>
  <w:endnote w:type="continuationSeparator" w:id="0">
    <w:p w14:paraId="78C46717" w14:textId="77777777" w:rsidR="00A846B7" w:rsidRDefault="00A846B7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610A4" w14:textId="3EC3BB71" w:rsidR="00CC58F2" w:rsidRPr="00B2719E" w:rsidRDefault="00CC58F2" w:rsidP="00B2719E">
    <w:pPr>
      <w:pStyle w:val="Footer"/>
      <w:rPr>
        <w:b/>
        <w:sz w:val="18"/>
      </w:rPr>
    </w:pPr>
    <w:r w:rsidRPr="004B232E">
      <w:rPr>
        <w:b/>
        <w:sz w:val="18"/>
      </w:rPr>
      <w:ptab w:relativeTo="margin" w:alignment="center" w:leader="none"/>
    </w:r>
    <w:r>
      <w:rPr>
        <w:b/>
        <w:sz w:val="18"/>
      </w:rPr>
      <w:t xml:space="preserve">Appendix 1, Rev </w:t>
    </w:r>
    <w:r w:rsidR="009411D4">
      <w:rPr>
        <w:b/>
        <w:sz w:val="18"/>
      </w:rPr>
      <w:t>3</w:t>
    </w:r>
    <w:r w:rsidRPr="004B232E">
      <w:rPr>
        <w:b/>
        <w:sz w:val="18"/>
      </w:rPr>
      <w:ptab w:relativeTo="margin" w:alignment="right" w:leader="none"/>
    </w:r>
    <w:r>
      <w:rPr>
        <w:b/>
        <w:sz w:val="18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CB7E" w14:textId="75FAC274" w:rsidR="00CC58F2" w:rsidRPr="004B232E" w:rsidRDefault="00CC58F2">
    <w:pPr>
      <w:pStyle w:val="Footer"/>
      <w:rPr>
        <w:b/>
        <w:sz w:val="18"/>
        <w:szCs w:val="18"/>
      </w:rPr>
    </w:pPr>
    <w:r w:rsidRPr="004B232E">
      <w:rPr>
        <w:b/>
        <w:sz w:val="18"/>
        <w:szCs w:val="18"/>
      </w:rPr>
      <w:ptab w:relativeTo="margin" w:alignment="center" w:leader="none"/>
    </w:r>
    <w:r>
      <w:rPr>
        <w:b/>
        <w:sz w:val="18"/>
        <w:szCs w:val="18"/>
      </w:rPr>
      <w:t>Appendix 1</w:t>
    </w:r>
    <w:r w:rsidRPr="004B232E">
      <w:rPr>
        <w:b/>
        <w:sz w:val="18"/>
        <w:szCs w:val="18"/>
      </w:rPr>
      <w:t xml:space="preserve">, Rev </w:t>
    </w:r>
    <w:r w:rsidR="009411D4">
      <w:rPr>
        <w:b/>
        <w:sz w:val="18"/>
        <w:szCs w:val="18"/>
      </w:rPr>
      <w:t>3</w:t>
    </w:r>
    <w:r w:rsidRPr="004B232E">
      <w:rPr>
        <w:b/>
        <w:sz w:val="18"/>
        <w:szCs w:val="18"/>
      </w:rPr>
      <w:ptab w:relativeTo="margin" w:alignment="right" w:leader="none"/>
    </w:r>
    <w:r>
      <w:rPr>
        <w:b/>
        <w:sz w:val="18"/>
        <w:szCs w:val="18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0F689" w14:textId="77777777" w:rsidR="00A846B7" w:rsidRDefault="00A846B7" w:rsidP="007F4BAC">
      <w:pPr>
        <w:spacing w:after="0" w:line="240" w:lineRule="auto"/>
      </w:pPr>
      <w:r>
        <w:separator/>
      </w:r>
    </w:p>
  </w:footnote>
  <w:footnote w:type="continuationSeparator" w:id="0">
    <w:p w14:paraId="61DB424A" w14:textId="77777777" w:rsidR="00A846B7" w:rsidRDefault="00A846B7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D0CB" w14:textId="77777777" w:rsidR="00CC58F2" w:rsidRDefault="00CC58F2">
    <w:pPr>
      <w:pStyle w:val="Header"/>
    </w:pP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79CA87" wp14:editId="585B5C49">
              <wp:simplePos x="0" y="0"/>
              <wp:positionH relativeFrom="column">
                <wp:posOffset>2400300</wp:posOffset>
              </wp:positionH>
              <wp:positionV relativeFrom="paragraph">
                <wp:posOffset>236220</wp:posOffset>
              </wp:positionV>
              <wp:extent cx="3388995" cy="571500"/>
              <wp:effectExtent l="0" t="0" r="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99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AEDB9" w14:textId="77777777" w:rsidR="00CC58F2" w:rsidRPr="0051603C" w:rsidRDefault="00CC58F2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51603C">
                            <w:rPr>
                              <w:b/>
                              <w:sz w:val="44"/>
                              <w:szCs w:val="44"/>
                            </w:rPr>
                            <w:t>Application for Grant Funds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9CA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9pt;margin-top:18.6pt;width:266.85pt;height:4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" filled="f" stroked="f">
              <v:textbox>
                <w:txbxContent>
                  <w:p w14:paraId="196AEDB9" w14:textId="77777777" w:rsidR="00CC58F2" w:rsidRPr="0051603C" w:rsidRDefault="00CC58F2">
                    <w:pPr>
                      <w:rPr>
                        <w:b/>
                        <w:sz w:val="44"/>
                        <w:szCs w:val="44"/>
                      </w:rPr>
                    </w:pPr>
                    <w:r w:rsidRPr="0051603C">
                      <w:rPr>
                        <w:b/>
                        <w:sz w:val="44"/>
                        <w:szCs w:val="44"/>
                      </w:rPr>
                      <w:t>Application for Grant Funds</w:t>
                    </w:r>
                  </w:p>
                </w:txbxContent>
              </v:textbox>
            </v:shape>
          </w:pict>
        </mc:Fallback>
      </mc:AlternateContent>
    </w:r>
    <w:r w:rsidRPr="002B2474">
      <w:rPr>
        <w:noProof/>
        <w:sz w:val="24"/>
        <w:szCs w:val="24"/>
        <w:lang w:val="en-US"/>
      </w:rPr>
      <w:drawing>
        <wp:inline distT="0" distB="0" distL="0" distR="0" wp14:anchorId="43F032B0" wp14:editId="77950A1B">
          <wp:extent cx="1773382" cy="860903"/>
          <wp:effectExtent l="0" t="0" r="0" b="0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6134" cy="862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EAB"/>
    <w:multiLevelType w:val="hybridMultilevel"/>
    <w:tmpl w:val="B91C12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B1F01"/>
    <w:multiLevelType w:val="hybridMultilevel"/>
    <w:tmpl w:val="17BAAD68"/>
    <w:lvl w:ilvl="0" w:tplc="FD649E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94056"/>
    <w:multiLevelType w:val="hybridMultilevel"/>
    <w:tmpl w:val="A69C4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03F9E"/>
    <w:multiLevelType w:val="hybridMultilevel"/>
    <w:tmpl w:val="ADDEA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11F14"/>
    <w:multiLevelType w:val="hybridMultilevel"/>
    <w:tmpl w:val="E53E0D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413C"/>
    <w:multiLevelType w:val="hybridMultilevel"/>
    <w:tmpl w:val="BA8881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29FB"/>
    <w:multiLevelType w:val="hybridMultilevel"/>
    <w:tmpl w:val="5A9A5956"/>
    <w:lvl w:ilvl="0" w:tplc="C370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7691"/>
    <w:multiLevelType w:val="hybridMultilevel"/>
    <w:tmpl w:val="FCFAA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8176A"/>
    <w:multiLevelType w:val="hybridMultilevel"/>
    <w:tmpl w:val="CE10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770"/>
    <w:multiLevelType w:val="hybridMultilevel"/>
    <w:tmpl w:val="713C7F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33451"/>
    <w:multiLevelType w:val="hybridMultilevel"/>
    <w:tmpl w:val="6AB88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076E3"/>
    <w:multiLevelType w:val="hybridMultilevel"/>
    <w:tmpl w:val="6E60F3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26773"/>
    <w:multiLevelType w:val="hybridMultilevel"/>
    <w:tmpl w:val="D8561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5299B"/>
    <w:multiLevelType w:val="hybridMultilevel"/>
    <w:tmpl w:val="83003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01112E"/>
    <w:multiLevelType w:val="hybridMultilevel"/>
    <w:tmpl w:val="9DA08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1427"/>
    <w:multiLevelType w:val="hybridMultilevel"/>
    <w:tmpl w:val="BF6A0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34919"/>
    <w:multiLevelType w:val="hybridMultilevel"/>
    <w:tmpl w:val="275E9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92D40"/>
    <w:multiLevelType w:val="hybridMultilevel"/>
    <w:tmpl w:val="A38CC0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640FD"/>
    <w:multiLevelType w:val="hybridMultilevel"/>
    <w:tmpl w:val="C9B80A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D4AD9"/>
    <w:multiLevelType w:val="hybridMultilevel"/>
    <w:tmpl w:val="7D2A4A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473C5"/>
    <w:multiLevelType w:val="hybridMultilevel"/>
    <w:tmpl w:val="4DC4B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821EF1"/>
    <w:multiLevelType w:val="hybridMultilevel"/>
    <w:tmpl w:val="932C85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275A18"/>
    <w:multiLevelType w:val="hybridMultilevel"/>
    <w:tmpl w:val="2AD4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274"/>
    <w:multiLevelType w:val="hybridMultilevel"/>
    <w:tmpl w:val="76366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832"/>
    <w:multiLevelType w:val="hybridMultilevel"/>
    <w:tmpl w:val="0890BCE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F65B7"/>
    <w:multiLevelType w:val="hybridMultilevel"/>
    <w:tmpl w:val="E5E0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15940"/>
    <w:multiLevelType w:val="hybridMultilevel"/>
    <w:tmpl w:val="97008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8"/>
  </w:num>
  <w:num w:numId="5">
    <w:abstractNumId w:val="23"/>
  </w:num>
  <w:num w:numId="6">
    <w:abstractNumId w:val="0"/>
  </w:num>
  <w:num w:numId="7">
    <w:abstractNumId w:val="8"/>
  </w:num>
  <w:num w:numId="8">
    <w:abstractNumId w:val="19"/>
  </w:num>
  <w:num w:numId="9">
    <w:abstractNumId w:val="11"/>
  </w:num>
  <w:num w:numId="10">
    <w:abstractNumId w:val="21"/>
  </w:num>
  <w:num w:numId="11">
    <w:abstractNumId w:val="9"/>
  </w:num>
  <w:num w:numId="12">
    <w:abstractNumId w:val="13"/>
  </w:num>
  <w:num w:numId="13">
    <w:abstractNumId w:val="5"/>
  </w:num>
  <w:num w:numId="14">
    <w:abstractNumId w:val="10"/>
  </w:num>
  <w:num w:numId="15">
    <w:abstractNumId w:val="16"/>
  </w:num>
  <w:num w:numId="16">
    <w:abstractNumId w:val="22"/>
  </w:num>
  <w:num w:numId="17">
    <w:abstractNumId w:val="6"/>
  </w:num>
  <w:num w:numId="18">
    <w:abstractNumId w:val="26"/>
  </w:num>
  <w:num w:numId="19">
    <w:abstractNumId w:val="1"/>
  </w:num>
  <w:num w:numId="20">
    <w:abstractNumId w:val="3"/>
  </w:num>
  <w:num w:numId="21">
    <w:abstractNumId w:val="20"/>
  </w:num>
  <w:num w:numId="22">
    <w:abstractNumId w:val="25"/>
  </w:num>
  <w:num w:numId="23">
    <w:abstractNumId w:val="12"/>
  </w:num>
  <w:num w:numId="24">
    <w:abstractNumId w:val="15"/>
  </w:num>
  <w:num w:numId="25">
    <w:abstractNumId w:val="4"/>
  </w:num>
  <w:num w:numId="26">
    <w:abstractNumId w:val="2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A59"/>
    <w:rsid w:val="000472B8"/>
    <w:rsid w:val="0005379D"/>
    <w:rsid w:val="000568C5"/>
    <w:rsid w:val="000932E2"/>
    <w:rsid w:val="000B5434"/>
    <w:rsid w:val="000F089B"/>
    <w:rsid w:val="001113CD"/>
    <w:rsid w:val="00116C41"/>
    <w:rsid w:val="00162D61"/>
    <w:rsid w:val="00167F78"/>
    <w:rsid w:val="00184A4C"/>
    <w:rsid w:val="001C17B2"/>
    <w:rsid w:val="001C7827"/>
    <w:rsid w:val="001D11B0"/>
    <w:rsid w:val="001D73A2"/>
    <w:rsid w:val="00226E6B"/>
    <w:rsid w:val="002329B4"/>
    <w:rsid w:val="002A0E6C"/>
    <w:rsid w:val="002A3F85"/>
    <w:rsid w:val="002C67C0"/>
    <w:rsid w:val="002D4375"/>
    <w:rsid w:val="00304691"/>
    <w:rsid w:val="003B3338"/>
    <w:rsid w:val="003F2BDF"/>
    <w:rsid w:val="0041063C"/>
    <w:rsid w:val="00411471"/>
    <w:rsid w:val="004A2BE2"/>
    <w:rsid w:val="004B232E"/>
    <w:rsid w:val="004C53E3"/>
    <w:rsid w:val="004C6084"/>
    <w:rsid w:val="004D36FC"/>
    <w:rsid w:val="00504461"/>
    <w:rsid w:val="0051603C"/>
    <w:rsid w:val="00516B7C"/>
    <w:rsid w:val="00532355"/>
    <w:rsid w:val="005462CF"/>
    <w:rsid w:val="005572F3"/>
    <w:rsid w:val="00575E90"/>
    <w:rsid w:val="0059276B"/>
    <w:rsid w:val="00594F8E"/>
    <w:rsid w:val="005B6434"/>
    <w:rsid w:val="005C63AC"/>
    <w:rsid w:val="005E0E47"/>
    <w:rsid w:val="00613AC6"/>
    <w:rsid w:val="00621E17"/>
    <w:rsid w:val="006222D2"/>
    <w:rsid w:val="0064076E"/>
    <w:rsid w:val="006505DF"/>
    <w:rsid w:val="006673A9"/>
    <w:rsid w:val="006753BF"/>
    <w:rsid w:val="006A6E03"/>
    <w:rsid w:val="006D6F6A"/>
    <w:rsid w:val="00700997"/>
    <w:rsid w:val="00706AA3"/>
    <w:rsid w:val="0073277C"/>
    <w:rsid w:val="00733F6F"/>
    <w:rsid w:val="00735A59"/>
    <w:rsid w:val="007429BA"/>
    <w:rsid w:val="00742DA2"/>
    <w:rsid w:val="00752505"/>
    <w:rsid w:val="007619AC"/>
    <w:rsid w:val="00762D93"/>
    <w:rsid w:val="007A18D3"/>
    <w:rsid w:val="007A2D30"/>
    <w:rsid w:val="007B38AF"/>
    <w:rsid w:val="007D3458"/>
    <w:rsid w:val="007D472C"/>
    <w:rsid w:val="007E504D"/>
    <w:rsid w:val="007F200E"/>
    <w:rsid w:val="007F4BAC"/>
    <w:rsid w:val="00800C28"/>
    <w:rsid w:val="00805E31"/>
    <w:rsid w:val="00830790"/>
    <w:rsid w:val="0083344D"/>
    <w:rsid w:val="008456CA"/>
    <w:rsid w:val="00866681"/>
    <w:rsid w:val="00873809"/>
    <w:rsid w:val="008834EA"/>
    <w:rsid w:val="00884492"/>
    <w:rsid w:val="008B1967"/>
    <w:rsid w:val="008C01F3"/>
    <w:rsid w:val="008F68A6"/>
    <w:rsid w:val="009411D4"/>
    <w:rsid w:val="00951EFE"/>
    <w:rsid w:val="009614FC"/>
    <w:rsid w:val="009736CD"/>
    <w:rsid w:val="009828E4"/>
    <w:rsid w:val="00993DE1"/>
    <w:rsid w:val="009A2876"/>
    <w:rsid w:val="009D20B4"/>
    <w:rsid w:val="009D4C13"/>
    <w:rsid w:val="009D5A91"/>
    <w:rsid w:val="00A26FFF"/>
    <w:rsid w:val="00A2718D"/>
    <w:rsid w:val="00A5248F"/>
    <w:rsid w:val="00A6350D"/>
    <w:rsid w:val="00A846B7"/>
    <w:rsid w:val="00A949BC"/>
    <w:rsid w:val="00A94E6F"/>
    <w:rsid w:val="00AA55DE"/>
    <w:rsid w:val="00AC2EA6"/>
    <w:rsid w:val="00AC44D1"/>
    <w:rsid w:val="00AE3152"/>
    <w:rsid w:val="00AF6B7E"/>
    <w:rsid w:val="00B2719E"/>
    <w:rsid w:val="00B31EB5"/>
    <w:rsid w:val="00C22F66"/>
    <w:rsid w:val="00CA5478"/>
    <w:rsid w:val="00CC0251"/>
    <w:rsid w:val="00CC58F2"/>
    <w:rsid w:val="00CD0E00"/>
    <w:rsid w:val="00CE3AF4"/>
    <w:rsid w:val="00D11681"/>
    <w:rsid w:val="00D95491"/>
    <w:rsid w:val="00DA164B"/>
    <w:rsid w:val="00DF386A"/>
    <w:rsid w:val="00E3385C"/>
    <w:rsid w:val="00E50859"/>
    <w:rsid w:val="00E67807"/>
    <w:rsid w:val="00E72AA8"/>
    <w:rsid w:val="00E8355A"/>
    <w:rsid w:val="00EA6F56"/>
    <w:rsid w:val="00ED2D95"/>
    <w:rsid w:val="00ED407B"/>
    <w:rsid w:val="00ED7E5E"/>
    <w:rsid w:val="00F23691"/>
    <w:rsid w:val="00F61A61"/>
    <w:rsid w:val="00F878F5"/>
    <w:rsid w:val="00FA6673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1424E"/>
  <w15:docId w15:val="{3B159543-2A57-47DC-B265-8312115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B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AC"/>
  </w:style>
  <w:style w:type="paragraph" w:styleId="Footer">
    <w:name w:val="footer"/>
    <w:basedOn w:val="Normal"/>
    <w:link w:val="FooterChar"/>
    <w:uiPriority w:val="99"/>
    <w:unhideWhenUsed/>
    <w:rsid w:val="007F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AC"/>
  </w:style>
  <w:style w:type="paragraph" w:styleId="BalloonText">
    <w:name w:val="Balloon Text"/>
    <w:basedOn w:val="Normal"/>
    <w:link w:val="BalloonTextChar"/>
    <w:uiPriority w:val="99"/>
    <w:semiHidden/>
    <w:unhideWhenUsed/>
    <w:rsid w:val="007F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1E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21E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B6434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1113C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11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D112C-A195-4494-BFF5-FA9B8216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Fraser</dc:creator>
  <cp:lastModifiedBy>Craters of the Moon Trust</cp:lastModifiedBy>
  <cp:revision>6</cp:revision>
  <cp:lastPrinted>2012-09-04T06:07:00Z</cp:lastPrinted>
  <dcterms:created xsi:type="dcterms:W3CDTF">2020-02-11T02:24:00Z</dcterms:created>
  <dcterms:modified xsi:type="dcterms:W3CDTF">2020-02-14T00:33:00Z</dcterms:modified>
</cp:coreProperties>
</file>